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Проектный менеджмент</w:t>
            </w:r>
          </w:p>
          <w:p>
            <w:pPr>
              <w:jc w:val="center"/>
              <w:spacing w:after="0" w:line="240" w:lineRule="auto"/>
              <w:rPr>
                <w:sz w:val="32"/>
                <w:szCs w:val="32"/>
              </w:rPr>
            </w:pPr>
            <w:r>
              <w:rPr>
                <w:rFonts w:ascii="Times New Roman" w:hAnsi="Times New Roman" w:cs="Times New Roman"/>
                <w:color w:val="#000000"/>
                <w:sz w:val="32"/>
                <w:szCs w:val="32"/>
              </w:rPr>
              <w:t> Б1.В.01.01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04.34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/Савина Наталья Викторовна/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«Проектный менеджмент»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Б1.В.01.01 «Проектный менеджмент».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«Проектный менеджмент»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взаимодействие всех участников образовательного процесса в коллегиальных органах управления, соответствующих целям развития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теорию  и  историю, нормативно-правовые акты создания и функционирования  органов государственно-общественного управления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модели  взаимодействия государства  и  общества  в образовании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психолого-педагогические  особенности коммуникаций  в  деятельности коллегиальных  органов  управления образованием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и использовать  соответствующие  целям и  условиям деятельности образовательной  организации нормативные  документы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разрабатывать  локальные  акты  при создании  и  функционировании коллегиальных  форм  управления образованием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конкретной  ситуации  действиями, позволяющими осуществлять мониторинг  и  поддержку деятельности  коллегиальных органов управления образованием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Готовность изучать состояние и потенциал управляемой системы и ее макро- и микроокружения путем использования комплекса методов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особенности организации  образовательного процесса на  соответствующем уровне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методов  управления образовательной организацией на соответствующем  уровне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работать  в  команде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комплекс  методов анализа  организационно-управленческой деятельности  на соответствующем    уровне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 способен осуществлять их оценку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 этапы работы над проектом с учетом последовательности их реализации</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действующие правовые нормы, имеющиеся ресурсы и ограничения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требования к публичному представлению  результатов проекта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выстраивать этапы работы над проектом с учетом этапов жизненного цикла проекта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определять проблему, лежащую в основе проекта, грамотно формулировать его цель</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выбирать оптимальный способ решения задач проекта, исходя из действующих правовых норм и имеющихся ресурсов и ограничений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качественно решать поставленные задачи в рамках установленного времени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методами подбора исполнителей проекта, обладающих необходимыми компетенциями для его реализации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способами оценивания выявленных проблем и рисков в процессе реализации проекта и его результатов</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владеть способами публичного представления результатов проекта, навыками участия в обсуждении хода и результатов проекта</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способы выстраивания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и общения разных людей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(устную, письменную, вербальную, невербальную, реальную, виртуальную, межличностную и др.)</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этические нормы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определять роль каждого участника в команде в соответствии с личностными особенностями и профессиональными качествами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учитывать в совместной деятельности особенности поведения и общения разных людей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осуществлять руководство командой и достижением поставленной цели на основе разных видов коммуникации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видеть результаты  (последствия) личных действий, планировать последовательность шагов для достижения поставленной цели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эффективно взаимодействовать с членами команды, в т.ч. участвовать в обмене информацией, знаниями и опытом и презентации результатов работы команды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владеть способами контроля выполнения последовательности шагов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навыками соблюдения норм профессиональной этики, участвуя во взаимодействии с другими членами команды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848.04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Б1.В.01.01 «Проектный менеджмент» относится к обязательной части, является дисциплиной Блока Б1. «Дисциплины (модули)». Модуль "Ключевые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компетенции менеджера образования"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Для освоения дисциплины необходимо успешное овладение программой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Дисциплина "Проектный менеджмент" является базовой для изучения дисциплин:</w:t>
            </w:r>
          </w:p>
          <w:p>
            <w:pPr>
              <w:jc w:val="center"/>
              <w:spacing w:after="0" w:line="240" w:lineRule="auto"/>
              <w:rPr>
                <w:sz w:val="22"/>
                <w:szCs w:val="22"/>
              </w:rPr>
            </w:pPr>
            <w:r>
              <w:rPr>
                <w:rFonts w:ascii="Times New Roman" w:hAnsi="Times New Roman" w:cs="Times New Roman"/>
                <w:color w:val="#000000"/>
                <w:sz w:val="22"/>
                <w:szCs w:val="22"/>
              </w:rPr>
              <w:t> Научные основы проектирования в социальной сфере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w:t>
            </w:r>
          </w:p>
          <w:p>
            <w:pPr>
              <w:jc w:val="center"/>
              <w:spacing w:after="0" w:line="240" w:lineRule="auto"/>
              <w:rPr>
                <w:sz w:val="22"/>
                <w:szCs w:val="22"/>
              </w:rPr>
            </w:pPr>
            <w:r>
              <w:rPr>
                <w:rFonts w:ascii="Times New Roman" w:hAnsi="Times New Roman" w:cs="Times New Roman"/>
                <w:color w:val="#000000"/>
                <w:sz w:val="22"/>
                <w:szCs w:val="22"/>
              </w:rPr>
              <w:t> Модели государственно-общественного управления образованием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УК-3, ПК-3, ПК-5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 проектного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проектный менеджмент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Проектный менеджмент в инновационном развитии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подход в управлении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проектирование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проектирование 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проектный менеджмент</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основные подходы к проектированию. Международные и национальные стандарты в области проектирования. Структура и система управления проектами. Управление проектами в организации. Процессы управления проектами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Проектный подход в управлении образовательной организацией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инновационного образовательного проекта. Типы педагогических нововведений. Факторы, препятствующие нововведениям. Классификация инноваций. Проект в качестве цикла инновационной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проектирование в образовательной организации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управления инновационными проектами в образовании. Проектная технология как технология управления развитием образовательной организации. Фазы управления проектом. SWOT-анализ как один из методов разработки проектов. Грантовая деятельность. Колнкурсы инновационных проектов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образовательной организацией</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Жизненный цикл проекта, фазы жизненного цикла. Типы фаз жизненного цикла проекта. Общая структура жизни цикла проекта. Группы процессов управления проектом.</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в образовательной организации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технологии проектного обучения. Современная классификация учебных проектов. Роль педагога в проектной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проектирование в образовательной организации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 проектной деятельности в обучении. Этапы выполнения проекта. Методические приемы на разных этапах создания проекта. Формы презентации проекта. Критерии оценки проекта. Эффекты мотивации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«Проектный менеджмент» / Савина Наталья Викторовна.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978-5-9275-2640-6.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http://www.iprbookshop.ru/87476.html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Проектный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Куценко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978-5-7410-1835-4.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http://www.iprbookshop.ru/78823.html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Проектный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дизайн-мышление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Проектный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дизайн-мышление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978-5-238-02738-8.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http://www.iprbookshop.ru/81833.html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47.3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025.8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7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2024-2025_ФГОС3++2024_Маг-ЗФО-ПО(ГОУО)(24)_plx_Проектный менеджмент</dc:title>
  <dc:creator>FastReport.NET</dc:creator>
</cp:coreProperties>
</file>